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before="100" w:beforeAutospacing="1" w:after="100" w:afterAutospacing="1" w:line="345" w:lineRule="atLeast"/>
        <w:jc w:val="center"/>
        <w:rPr>
          <w:rFonts w:ascii="宋体 ，Arial" w:hAnsi="宋体" w:eastAsia="宋体 ，Arial" w:cs="宋体"/>
          <w:b/>
          <w:bCs/>
          <w:color w:val="000000"/>
          <w:kern w:val="0"/>
          <w:sz w:val="28"/>
          <w:szCs w:val="28"/>
        </w:rPr>
      </w:pPr>
      <w:r>
        <w:rPr>
          <w:rFonts w:hint="eastAsia" w:ascii="宋体 ，Arial" w:hAnsi="宋体" w:eastAsia="宋体 ，Arial" w:cs="宋体"/>
          <w:b/>
          <w:bCs/>
          <w:color w:val="000000"/>
          <w:kern w:val="0"/>
          <w:sz w:val="28"/>
          <w:szCs w:val="28"/>
        </w:rPr>
        <w:t>住房城乡建设部关于印发城市轨道交通建设工程验收管理暂行办法的通知</w:t>
      </w:r>
    </w:p>
    <w:p>
      <w:pPr>
        <w:widowControl/>
        <w:spacing w:line="360" w:lineRule="atLeast"/>
        <w:jc w:val="center"/>
        <w:rPr>
          <w:rFonts w:ascii="宋体 ，Arial" w:hAnsi="宋体" w:eastAsia="宋体 ，Arial" w:cs="宋体"/>
          <w:color w:val="000000"/>
          <w:kern w:val="0"/>
          <w:sz w:val="28"/>
          <w:szCs w:val="28"/>
        </w:rPr>
      </w:pPr>
      <w:r>
        <w:rPr>
          <w:rFonts w:hint="eastAsia" w:ascii="宋体 ，Arial" w:hAnsi="宋体" w:eastAsia="宋体 ，Arial" w:cs="宋体"/>
          <w:color w:val="000000"/>
          <w:kern w:val="0"/>
          <w:sz w:val="28"/>
          <w:szCs w:val="28"/>
        </w:rPr>
        <w:t>建质【2014】42号</w:t>
      </w:r>
    </w:p>
    <w:p>
      <w:pPr>
        <w:widowControl/>
        <w:spacing w:line="360" w:lineRule="atLeast"/>
        <w:jc w:val="left"/>
        <w:rPr>
          <w:rFonts w:ascii="宋体 ，Arial" w:hAnsi="宋体" w:eastAsia="宋体 ，Arial" w:cs="宋体"/>
          <w:color w:val="000000"/>
          <w:kern w:val="0"/>
          <w:sz w:val="28"/>
          <w:szCs w:val="28"/>
        </w:rPr>
      </w:pPr>
      <w:r>
        <w:rPr>
          <w:rFonts w:hint="eastAsia" w:ascii="宋体 ，Arial" w:hAnsi="宋体" w:eastAsia="宋体 ，Arial" w:cs="宋体"/>
          <w:color w:val="000000"/>
          <w:kern w:val="0"/>
          <w:sz w:val="28"/>
          <w:szCs w:val="28"/>
        </w:rPr>
        <w:t>各省、自治区住房城乡建设厅，直辖市建委（建交委），新疆生产建设兵团建设局：</w:t>
      </w:r>
    </w:p>
    <w:p>
      <w:pPr>
        <w:widowControl/>
        <w:spacing w:line="360" w:lineRule="atLeast"/>
        <w:jc w:val="left"/>
        <w:rPr>
          <w:rFonts w:ascii="宋体 ，Arial" w:hAnsi="宋体" w:eastAsia="宋体 ，Arial" w:cs="宋体"/>
          <w:color w:val="000000"/>
          <w:kern w:val="0"/>
          <w:sz w:val="28"/>
          <w:szCs w:val="28"/>
        </w:rPr>
      </w:pPr>
      <w:r>
        <w:rPr>
          <w:rFonts w:hint="eastAsia" w:ascii="宋体 ，Arial" w:hAnsi="宋体" w:eastAsia="宋体 ，Arial" w:cs="宋体"/>
          <w:color w:val="000000"/>
          <w:kern w:val="0"/>
          <w:sz w:val="28"/>
          <w:szCs w:val="28"/>
        </w:rPr>
        <w:t>　　为规范城市轨道交通建设工程验收工作，提高城市轨道交通建设工程质量安全水平，我部制定了《城市轨道交通建设工程验收管理暂行办法》。现印发给你们，请结合本地区实际，认真贯彻执行。</w:t>
      </w:r>
    </w:p>
    <w:p>
      <w:pPr>
        <w:widowControl/>
        <w:spacing w:line="360" w:lineRule="atLeast"/>
        <w:jc w:val="left"/>
        <w:rPr>
          <w:rFonts w:ascii="宋体 ，Arial" w:hAnsi="宋体" w:eastAsia="宋体 ，Arial" w:cs="宋体"/>
          <w:color w:val="000000"/>
          <w:kern w:val="0"/>
          <w:sz w:val="28"/>
          <w:szCs w:val="28"/>
        </w:rPr>
      </w:pPr>
      <w:r>
        <w:rPr>
          <w:rFonts w:hint="eastAsia" w:ascii="宋体 ，Arial" w:hAnsi="宋体" w:eastAsia="宋体 ，Arial" w:cs="宋体"/>
          <w:color w:val="000000"/>
          <w:kern w:val="0"/>
          <w:sz w:val="28"/>
          <w:szCs w:val="28"/>
        </w:rPr>
        <w:t> </w:t>
      </w:r>
    </w:p>
    <w:p>
      <w:pPr>
        <w:widowControl/>
        <w:spacing w:line="360" w:lineRule="atLeast"/>
        <w:jc w:val="left"/>
        <w:rPr>
          <w:rFonts w:ascii="宋体 ，Arial" w:hAnsi="宋体" w:eastAsia="宋体 ，Arial" w:cs="宋体"/>
          <w:color w:val="000000"/>
          <w:kern w:val="0"/>
          <w:sz w:val="28"/>
          <w:szCs w:val="28"/>
        </w:rPr>
      </w:pPr>
      <w:r>
        <w:rPr>
          <w:rFonts w:hint="eastAsia" w:ascii="宋体 ，Arial" w:hAnsi="宋体" w:eastAsia="宋体 ，Arial" w:cs="宋体"/>
          <w:color w:val="000000"/>
          <w:kern w:val="0"/>
          <w:sz w:val="28"/>
          <w:szCs w:val="28"/>
        </w:rPr>
        <w:t>　　　　　　　　　　　　　　中华人民共和国住房和城乡建设部</w:t>
      </w:r>
    </w:p>
    <w:p>
      <w:pPr>
        <w:widowControl/>
        <w:wordWrap w:val="0"/>
        <w:spacing w:line="360" w:lineRule="atLeast"/>
        <w:jc w:val="right"/>
        <w:rPr>
          <w:rFonts w:ascii="宋体 ，Arial" w:hAnsi="宋体" w:eastAsia="宋体 ，Arial" w:cs="宋体"/>
          <w:color w:val="000000"/>
          <w:kern w:val="0"/>
          <w:sz w:val="28"/>
          <w:szCs w:val="28"/>
        </w:rPr>
      </w:pPr>
      <w:r>
        <w:rPr>
          <w:rFonts w:hint="eastAsia" w:ascii="宋体 ，Arial" w:hAnsi="宋体" w:eastAsia="宋体 ，Arial" w:cs="宋体"/>
          <w:color w:val="000000"/>
          <w:kern w:val="0"/>
          <w:sz w:val="28"/>
          <w:szCs w:val="28"/>
        </w:rPr>
        <w:t xml:space="preserve">2014年3月27日        </w:t>
      </w:r>
    </w:p>
    <w:p>
      <w:pPr>
        <w:widowControl/>
        <w:spacing w:before="100" w:beforeAutospacing="1" w:after="100" w:afterAutospacing="1" w:line="345" w:lineRule="atLeast"/>
        <w:jc w:val="right"/>
        <w:rPr>
          <w:rFonts w:ascii="Tahoma" w:hAnsi="Tahoma" w:eastAsia="宋体" w:cs="Tahoma"/>
          <w:b/>
          <w:bCs/>
          <w:color w:val="444444"/>
          <w:kern w:val="0"/>
          <w:sz w:val="28"/>
          <w:szCs w:val="28"/>
        </w:rPr>
      </w:pPr>
    </w:p>
    <w:p>
      <w:pPr>
        <w:widowControl/>
        <w:spacing w:before="100" w:beforeAutospacing="1" w:after="100" w:afterAutospacing="1" w:line="345" w:lineRule="atLeast"/>
        <w:jc w:val="center"/>
        <w:rPr>
          <w:rFonts w:ascii="Tahoma" w:hAnsi="Tahoma" w:eastAsia="宋体" w:cs="Tahoma"/>
          <w:color w:val="444444"/>
          <w:kern w:val="0"/>
          <w:sz w:val="28"/>
          <w:szCs w:val="28"/>
        </w:rPr>
      </w:pPr>
      <w:r>
        <w:rPr>
          <w:rFonts w:ascii="Tahoma" w:hAnsi="Tahoma" w:eastAsia="宋体" w:cs="Tahoma"/>
          <w:b/>
          <w:bCs/>
          <w:color w:val="444444"/>
          <w:kern w:val="0"/>
          <w:sz w:val="28"/>
          <w:szCs w:val="28"/>
        </w:rPr>
        <w:t>城市轨道交通建设工程验收管理暂行办法</w:t>
      </w:r>
    </w:p>
    <w:p>
      <w:pPr>
        <w:widowControl/>
        <w:spacing w:before="100" w:beforeAutospacing="1" w:after="100" w:afterAutospacing="1" w:line="345" w:lineRule="atLeast"/>
        <w:jc w:val="center"/>
        <w:rPr>
          <w:rFonts w:ascii="Tahoma" w:hAnsi="Tahoma" w:eastAsia="宋体" w:cs="Tahoma"/>
          <w:color w:val="444444"/>
          <w:kern w:val="0"/>
          <w:sz w:val="28"/>
          <w:szCs w:val="28"/>
        </w:rPr>
      </w:pPr>
      <w:r>
        <w:rPr>
          <w:rFonts w:ascii="Tahoma" w:hAnsi="Tahoma" w:eastAsia="宋体" w:cs="Tahoma"/>
          <w:b/>
          <w:bCs/>
          <w:color w:val="444444"/>
          <w:kern w:val="0"/>
          <w:sz w:val="28"/>
          <w:szCs w:val="28"/>
        </w:rPr>
        <w:t>第一章　总则</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第一条　为规范城市轨道交通建设工程验收工作，依据《建设工程质量管理条例》、《房屋建筑和市政基础设施工程竣工验收备案管理办法》、《房屋建筑和市政基础设施工程竣工验收规定》和《城市轨道交通工程安全质量管理暂行办法》等有关规定，结合城市轨道交通工程建设的实际，制定本办法。</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第二条　本办法所称城市轨道交通是指采用专用轨道导向运行的城市公共客运交通系统，包括地铁、轻轨、单轨、磁浮、自动导向轨道等系统。</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第三条　本办法适用于新建、扩建、改建城市轨道交通建设工程的验收活动及其监督管理。</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第四条　国务院住房城乡建设主管部门对全国城市轨道交通建设工程验收实施统一监督管理。</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县级以上地方人民政府住房城乡建设主管部门负责本行政区域内城市轨道交通建设工程验收的监督管理，具体工作可委托所属工程质量监督机构实施。</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县级以上地方人民政府有关部门按照法律法规规定负责相关的专项验收。</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第五条　城市轨道交通建设工程验收除应执行本管理办法外，还应符合国家、行业等有关规定和标准。</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第六条　城市轨道交通建设工程验收分为单位工程验收、项目工程验收、竣工验收三个阶段。</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单位工程验收是指在单位工程完工后，检查工程设计文件和合同约定内容的执行情况，评价单位工程是否符合有关法律法规和工程技术标准，符合设计文件及合同要求，对各参建单位的质量管理进行评价的验收。单位工程划分应符合国家、行业等现行有关规定和标准。</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项目工程验收是指各项单位工程验收后、试运行之前，确认建设项目工程是否达到设计文件及标准要求，是否满足城市轨道交通试运行要求的验收。</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竣工验收是指项目工程验收合格后、试运营之前，结合试运行效果，确认建设项目是否达到设计目标及标准要求的验收。</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专项验收是指为保证城市轨道交通建设工程质量和运行安全，依据相关法律法规由政府有关部门负责的验收。</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第七条　城市轨道交通建设工程所包含的单位工程验收合格且通过相关专项验收后，方可组织项目工程验收；项目工程验收合格后，建设单位应组织不载客试运行，试运行三个月、并通过全部专项验收后，方可组织竣工验收；竣工验收合格后，城市轨道交通建设工程可履行相关试运营手续。</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第八条　参与工程验收的建设、勘察、设计、施工、监理等各方不能形成一致意见时，应当协商提出解决的方法，待意见一致后，重新组织验收。</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第九条　住房城乡建设主管部门或其委托的工程质量监督机构应当对各验收阶段的组织形式、验收程序、执行验收标准等情况进行现场监督，发现有违反建设工程质量安全管理规定行为的，责令改正，并出具验收监督意见。</w:t>
      </w:r>
    </w:p>
    <w:p>
      <w:pPr>
        <w:widowControl/>
        <w:spacing w:before="100" w:beforeAutospacing="1" w:after="100" w:afterAutospacing="1" w:line="345" w:lineRule="atLeast"/>
        <w:jc w:val="center"/>
        <w:rPr>
          <w:rFonts w:ascii="Tahoma" w:hAnsi="Tahoma" w:eastAsia="宋体" w:cs="Tahoma"/>
          <w:color w:val="444444"/>
          <w:kern w:val="0"/>
          <w:sz w:val="28"/>
          <w:szCs w:val="28"/>
        </w:rPr>
      </w:pPr>
      <w:r>
        <w:rPr>
          <w:rFonts w:ascii="Tahoma" w:hAnsi="Tahoma" w:eastAsia="宋体" w:cs="Tahoma"/>
          <w:b/>
          <w:bCs/>
          <w:color w:val="444444"/>
          <w:kern w:val="0"/>
          <w:sz w:val="28"/>
          <w:szCs w:val="28"/>
        </w:rPr>
        <w:t>第二章　单位工程验收</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第十条　单位工程验收应具备以下条件：</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（一）完成工程设计和合同约定的各项内容，对不影响运营安全及使用功能的缓建项目已经相关部门同意；</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（二）质量控制资料应完整；</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（三）单位工程所含分部工程的质量均应验收合格；</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（四）有关安全和功能的检测、测试和必要的认证资料应完整；主要功能项目的检验检测结果应符合相关专业质量验收规范的规定；设备、系统安装工程需通过各专业要求的检测、测试或认证；</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（五）有勘察、设计、施工、工程监理等单位签署的质量合格文件或质量评价意见；</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（六）观感质量应符合验收要求；</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（七）住房城乡建设主管部门及其委托的工程质量监督机构等有关部门责令整改的问题已经整改完毕。</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第十一条　施工单位对单位工程质量自验合格后，总监理工程师应组织专业监理工程师，依据有关法律、法规、工程建设强制性标准、设计文件及施工合同，对施工单位报送的验收资料进行审查后，组织单位工程预验。单位工程各相关参建单位须参加预验，预验程序可参照单位工程验收程序。</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单位工程预验合格、遗留问题整改完毕后，施工单位应向建设单位提交单位工程验收报告，申请单位工程验收。验收报告须经该工程总监理工程师签署意见。</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第十二条　单位工程验收由建设单位组织，勘察、设计、施工、监理等各参建单位的项目负责人参加，组成验收小组。</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（一）建设单位应对验收小组主要成员资格进行核查；</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（二）建设单位应制定验收方案，验收方案的内容应包括验收小组人员组成、验收方法等。方案应明确对工程质量进行抽样检查的内容、部位等详细内容，抽样检查应具有随机性和可操作性；</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（三）建设单位应当在单位工程验收7个工作日前，将验收的时间、地点及验收方案书面报送工程质量监督机构。</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第十三条　单位工程验收的内容和程序：</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（一）建设、勘察、设计、施工、监理等单位分别汇报工程合同履约情况和在工程建设各个环节执行法律、法规和工程建设强制性标准的情况；</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（二）验收小组实地查验工程质量，审阅建设、勘察、设计、监理、施工单位的工程档案资料，并形成验收意见。查验及审阅至少应包括以下内容：</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1、检查合同和设计相关内容的执行情况；</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2、检查单位工程实体质量（涉及运营安全及使用功能的部位应进行抽样检测），检查工程档案资料；</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3、检查施工单位自检报告及施工技术资料（包括主要产品的质量保证资料及合格报告）；</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4、检查监理单位独立抽检资料、监理工作总结报告及质量评价资料。</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单位工程验收时，对重要分部工程应核查质量验收记录，进行质量抽样检查，经验收记录核查和质量抽样检查合格后，方可判定所含的分部工程质量合格。单位工程质量验收时，可委托第三方质量检测机构进行工程质量抽测。</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（三）工程质量监督机构出具验收监督意见。</w:t>
      </w:r>
    </w:p>
    <w:p>
      <w:pPr>
        <w:widowControl/>
        <w:spacing w:before="100" w:beforeAutospacing="1"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第十四条　当一个单位工程由多个子单位工程组成时，子单位工程质量验收的组织和程序应参照单位工程质量验收组织和程序进行。</w:t>
      </w:r>
    </w:p>
    <w:p>
      <w:pPr>
        <w:widowControl/>
        <w:spacing w:beforeAutospacing="1" w:after="100" w:afterAutospacing="1" w:line="345" w:lineRule="atLeast"/>
        <w:jc w:val="center"/>
        <w:rPr>
          <w:rFonts w:ascii="Tahoma" w:hAnsi="Tahoma" w:eastAsia="宋体" w:cs="Tahoma"/>
          <w:color w:val="444444"/>
          <w:kern w:val="0"/>
          <w:sz w:val="28"/>
          <w:szCs w:val="28"/>
        </w:rPr>
      </w:pPr>
      <w:r>
        <w:rPr>
          <w:rFonts w:ascii="Tahoma" w:hAnsi="Tahoma" w:eastAsia="宋体" w:cs="Tahoma"/>
          <w:b/>
          <w:bCs/>
          <w:color w:val="444444"/>
          <w:kern w:val="0"/>
          <w:sz w:val="28"/>
          <w:szCs w:val="28"/>
        </w:rPr>
        <w:t>第三章　项目工程验收</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第十五条　项目工程验收应具备以下条件：</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（一）项目所含单位工程均已完成设计及合同约定的内容，并通过了单位工程验收。对不影响运营安全及使用功能的缓建、缓验项目已经相关部门同意；</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（二）单位工程质量验收提出的遗留问题、住房城乡建设行政主管部门或其委托的工程质量监督机构责令整改的问题已全部整改完毕；</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（三）设备系统经联合调试符合运营整体功能要求，并已由相关单位出具认可文件；</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（四）已通过对试运行有影响的相关专项验收。</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第十六条　城市轨道交通建设项目工程验收工作由建设单位组织，各参建单位项目负责人以及运营单位、负责专项验收的城市政府有关部门代表参加，组成验收组。</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（一）建设单位应对验收组主要成员资格进行核查；</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（二）建设单位应制定验收方案，验收方案的内容应包括验收组人员组成、验收方法等；</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（三）建设单位应当在项目工程验收7个工作日前，将验收的时间、地点及验收方案书面报送工程质量监督机构。</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第十七条　项目工程验收的内容和程序：</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（一）建设单位代表向验收组汇报工程合同履约情况和在工程建设各个环节执行法律、法规和工程建设强制性标准的情况；</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（二）各验收小组实地查验工程质量，复查单位工程验收遗留问题的整改情况；审阅建设、勘察、设计、监理、施工单位的工程档案和各项功能性检测、监测资料；</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（三）验收组对工程勘察、设计、施工、监理、设备安装质量等方面进行评价，审查对试运行有影响的相关专项验收情况；审查系统设备联合调试情况，签署项目工程验收意见；</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（四）工程质量监督机构出具验收监督意见。</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第十八条　城市轨道交通建设工程自项目工程验收合格之日起可投入不载客试运行，试运行时间不应少于三个月。</w:t>
      </w:r>
    </w:p>
    <w:p>
      <w:pPr>
        <w:widowControl/>
        <w:spacing w:before="100" w:beforeAutospacing="1" w:after="100" w:afterAutospacing="1" w:line="345" w:lineRule="atLeast"/>
        <w:jc w:val="center"/>
        <w:rPr>
          <w:rFonts w:ascii="Tahoma" w:hAnsi="Tahoma" w:eastAsia="宋体" w:cs="Tahoma"/>
          <w:color w:val="444444"/>
          <w:kern w:val="0"/>
          <w:sz w:val="28"/>
          <w:szCs w:val="28"/>
        </w:rPr>
      </w:pPr>
      <w:r>
        <w:rPr>
          <w:rFonts w:ascii="Tahoma" w:hAnsi="Tahoma" w:eastAsia="宋体" w:cs="Tahoma"/>
          <w:b/>
          <w:bCs/>
          <w:color w:val="444444"/>
          <w:kern w:val="0"/>
          <w:sz w:val="28"/>
          <w:szCs w:val="28"/>
        </w:rPr>
        <w:t>第四章　 竣工验收</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第十九条　竣工验收应具备以下条件：</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（一）项目工程验收的遗留问题全部整改完毕；</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（二）有完整的技术档案和施工管理资料；</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（三）试运行过程中发现的问题已整改完毕，有试运行总结报告；</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（四）已通过规划部门对建设工程是否符合规划条件的核实和全部专项验收，并取得相关验收或认可文件；暂时甩项的，应经相关部门同意。</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第二十条　城市轨道交通建设工程竣工验收由建设单位组织，各参建单位项目负责人以及运营单位、负责规划条件核实和专项验收的城市政府有关部门代表参加，组成验收委员会。省、自治区住房城乡建设主管部门应当加强对本行政区域内城市轨道交通建设工程竣工验收的监督。</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（一）建设单位应对验收组主要成员资格进行核查；</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（二）建设单位应制定验收方案，验收方案的内容应包括验收委员会人员组成、验收内容及方法等；</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（三）验收委员会可按专业分为若干专业验收组；</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（四）建设单位应当在竣工验收7个工作日前，将验收的时间、地点及验收方案书面报送工程质量监督机构。</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第二十一条　竣工验收的内容和程序：</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（一）建设、勘察、设计、监理、施工等单位代表简要汇报工程概况、合同履约情况和在工程建设各个环节执行法律、法规和工程建设强制性标准的情况；</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（二）建设单位汇报试运行情况；</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（三）相关部门代表进行专项验收工作总结；</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（四）验收委员会审阅工程档案资料、运行总结报告及检查项目工程验收遗留问题和试运行中发现问题的整改情况；</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（五）验收委员会质询相关单位，讨论并形成验收意见；</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（六）验收委员会签署工程竣工验收报告，并对遗留问题做出处理决定；</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（七）工程质量监督机构出具验收监督意见。</w:t>
      </w:r>
    </w:p>
    <w:p>
      <w:pPr>
        <w:widowControl/>
        <w:spacing w:before="100" w:beforeAutospacing="1" w:after="100" w:afterAutospacing="1" w:line="345" w:lineRule="atLeast"/>
        <w:jc w:val="center"/>
        <w:rPr>
          <w:rFonts w:ascii="Tahoma" w:hAnsi="Tahoma" w:eastAsia="宋体" w:cs="Tahoma"/>
          <w:color w:val="444444"/>
          <w:kern w:val="0"/>
          <w:sz w:val="28"/>
          <w:szCs w:val="28"/>
        </w:rPr>
      </w:pPr>
      <w:r>
        <w:rPr>
          <w:rFonts w:ascii="Tahoma" w:hAnsi="Tahoma" w:eastAsia="宋体" w:cs="Tahoma"/>
          <w:b/>
          <w:bCs/>
          <w:color w:val="444444"/>
          <w:kern w:val="0"/>
          <w:sz w:val="28"/>
          <w:szCs w:val="28"/>
        </w:rPr>
        <w:t>第五章　附则</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第二十二条　施工单位应在竣工验收合格后，签订工程质量保修书，自竣工验收合格之日开始履行质保义务。</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第二十三条　建设单位应在竣工验收合格之日起15个工作日内，将竣工验收报告和相关文件，报城市建设主管部门备案。</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第二十四条　各地住房城乡建设主管部门可依据本办法，制定本地实施细则。</w:t>
      </w:r>
    </w:p>
    <w:p>
      <w:pPr>
        <w:widowControl/>
        <w:spacing w:before="100" w:beforeAutospacing="1" w:after="100"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第二十五条　本办法由住房城乡建设部负责解释。</w:t>
      </w:r>
    </w:p>
    <w:p>
      <w:pPr>
        <w:widowControl/>
        <w:spacing w:before="100" w:beforeAutospacing="1" w:afterAutospacing="1" w:line="345" w:lineRule="atLeast"/>
        <w:rPr>
          <w:rFonts w:ascii="Tahoma" w:hAnsi="Tahoma" w:eastAsia="宋体" w:cs="Tahoma"/>
          <w:color w:val="444444"/>
          <w:kern w:val="0"/>
          <w:sz w:val="28"/>
          <w:szCs w:val="28"/>
        </w:rPr>
      </w:pPr>
      <w:r>
        <w:rPr>
          <w:rFonts w:ascii="Tahoma" w:hAnsi="Tahoma" w:eastAsia="宋体" w:cs="Tahoma"/>
          <w:color w:val="444444"/>
          <w:kern w:val="0"/>
          <w:sz w:val="28"/>
          <w:szCs w:val="28"/>
        </w:rPr>
        <w:t>　　第二十六条　本办法自颁布之日起施行。</w:t>
      </w:r>
    </w:p>
    <w:p>
      <w:pPr>
        <w:spacing w:beforeLines="50" w:afterLines="50" w:line="360" w:lineRule="auto"/>
        <w:jc w:val="left"/>
        <w:rPr>
          <w:b/>
          <w:sz w:val="28"/>
          <w:szCs w:val="28"/>
        </w:rPr>
      </w:pPr>
      <w:r>
        <w:rPr>
          <w:rFonts w:hint="eastAsia"/>
          <w:b/>
          <w:sz w:val="28"/>
          <w:szCs w:val="28"/>
        </w:rPr>
        <w:t>附件</w:t>
      </w:r>
    </w:p>
    <w:p>
      <w:pPr>
        <w:spacing w:beforeLines="50" w:afterLines="50" w:line="360" w:lineRule="auto"/>
        <w:jc w:val="center"/>
        <w:rPr>
          <w:b/>
          <w:sz w:val="28"/>
          <w:szCs w:val="28"/>
        </w:rPr>
      </w:pPr>
      <w:r>
        <w:rPr>
          <w:b/>
          <w:sz w:val="28"/>
          <w:szCs w:val="28"/>
        </w:rPr>
        <w:t xml:space="preserve">  </w:t>
      </w:r>
      <w:r>
        <w:rPr>
          <w:rFonts w:hint="eastAsia"/>
          <w:b/>
          <w:sz w:val="28"/>
          <w:szCs w:val="28"/>
        </w:rPr>
        <w:t>城市轨道交通建设工程单位（子单位）工程划分表</w:t>
      </w:r>
    </w:p>
    <w:tbl>
      <w:tblPr>
        <w:tblStyle w:val="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146"/>
        <w:gridCol w:w="5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blHeader/>
        </w:trPr>
        <w:tc>
          <w:tcPr>
            <w:tcW w:w="943" w:type="dxa"/>
            <w:tcBorders>
              <w:top w:val="single" w:color="auto" w:sz="4" w:space="0"/>
              <w:left w:val="single" w:color="auto" w:sz="4" w:space="0"/>
              <w:bottom w:val="single" w:color="auto" w:sz="4" w:space="0"/>
              <w:right w:val="single" w:color="auto" w:sz="4" w:space="0"/>
            </w:tcBorders>
            <w:vAlign w:val="center"/>
          </w:tcPr>
          <w:p>
            <w:pPr>
              <w:jc w:val="center"/>
              <w:textAlignment w:val="center"/>
              <w:rPr>
                <w:b/>
                <w:szCs w:val="21"/>
              </w:rPr>
            </w:pPr>
            <w:r>
              <w:rPr>
                <w:rFonts w:hint="eastAsia"/>
                <w:b/>
                <w:szCs w:val="21"/>
              </w:rPr>
              <w:t>序号</w:t>
            </w:r>
          </w:p>
        </w:tc>
        <w:tc>
          <w:tcPr>
            <w:tcW w:w="2146" w:type="dxa"/>
            <w:tcBorders>
              <w:top w:val="single" w:color="auto" w:sz="4" w:space="0"/>
              <w:left w:val="single" w:color="auto" w:sz="4" w:space="0"/>
              <w:bottom w:val="single" w:color="auto" w:sz="4" w:space="0"/>
              <w:right w:val="single" w:color="auto" w:sz="4" w:space="0"/>
            </w:tcBorders>
            <w:vAlign w:val="center"/>
          </w:tcPr>
          <w:p>
            <w:pPr>
              <w:jc w:val="center"/>
              <w:textAlignment w:val="center"/>
              <w:rPr>
                <w:b/>
                <w:szCs w:val="21"/>
              </w:rPr>
            </w:pPr>
            <w:r>
              <w:rPr>
                <w:rFonts w:hint="eastAsia"/>
                <w:b/>
                <w:szCs w:val="21"/>
              </w:rPr>
              <w:t>单位工程</w:t>
            </w:r>
          </w:p>
        </w:tc>
        <w:tc>
          <w:tcPr>
            <w:tcW w:w="5842" w:type="dxa"/>
            <w:tcBorders>
              <w:top w:val="single" w:color="auto" w:sz="4" w:space="0"/>
              <w:left w:val="single" w:color="auto" w:sz="4" w:space="0"/>
              <w:bottom w:val="single" w:color="auto" w:sz="4" w:space="0"/>
              <w:right w:val="single" w:color="auto" w:sz="4" w:space="0"/>
            </w:tcBorders>
            <w:vAlign w:val="center"/>
          </w:tcPr>
          <w:p>
            <w:pPr>
              <w:jc w:val="center"/>
              <w:textAlignment w:val="center"/>
              <w:rPr>
                <w:b/>
                <w:szCs w:val="21"/>
              </w:rPr>
            </w:pPr>
            <w:r>
              <w:rPr>
                <w:rFonts w:hint="eastAsia"/>
                <w:b/>
                <w:szCs w:val="21"/>
              </w:rPr>
              <w:t>子单位工程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szCs w:val="21"/>
              </w:rPr>
              <w:t>1</w:t>
            </w:r>
          </w:p>
        </w:tc>
        <w:tc>
          <w:tcPr>
            <w:tcW w:w="21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rFonts w:hint="eastAsia"/>
                <w:szCs w:val="21"/>
              </w:rPr>
              <w:t>车站工程</w:t>
            </w: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rFonts w:hint="eastAsia"/>
                <w:szCs w:val="21"/>
              </w:rPr>
              <w:t>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rFonts w:hint="eastAsia"/>
                <w:szCs w:val="21"/>
              </w:rPr>
              <w:t>附属土建工程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rFonts w:hint="eastAsia"/>
                <w:szCs w:val="21"/>
              </w:rPr>
              <w:t>车站设备安装工程（含临近半区间）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rFonts w:hint="eastAsia"/>
                <w:szCs w:val="21"/>
              </w:rPr>
              <w:t>车站装饰装修工程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szCs w:val="21"/>
              </w:rPr>
              <w:t>2</w:t>
            </w:r>
          </w:p>
        </w:tc>
        <w:tc>
          <w:tcPr>
            <w:tcW w:w="21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rFonts w:hint="eastAsia"/>
                <w:szCs w:val="21"/>
              </w:rPr>
              <w:t>区间工程</w:t>
            </w: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明挖区间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暗挖区间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盾构区间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路基工程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高架区间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szCs w:val="21"/>
              </w:rPr>
              <w:t>3</w:t>
            </w:r>
          </w:p>
        </w:tc>
        <w:tc>
          <w:tcPr>
            <w:tcW w:w="21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ascii="Times New Roman" w:hAnsi="Times New Roman" w:eastAsia="宋体" w:cs="Times New Roman"/>
                <w:szCs w:val="21"/>
              </w:rPr>
            </w:pPr>
            <w:r>
              <w:rPr>
                <w:rFonts w:hint="eastAsia"/>
                <w:szCs w:val="21"/>
              </w:rPr>
              <w:t>车辆段、停车场</w:t>
            </w:r>
          </w:p>
          <w:p>
            <w:pPr>
              <w:adjustRightInd w:val="0"/>
              <w:snapToGrid w:val="0"/>
              <w:jc w:val="center"/>
              <w:textAlignment w:val="center"/>
              <w:rPr>
                <w:szCs w:val="21"/>
              </w:rPr>
            </w:pPr>
            <w:r>
              <w:rPr>
                <w:rFonts w:hint="eastAsia"/>
                <w:szCs w:val="21"/>
              </w:rPr>
              <w:t>及基地工程</w:t>
            </w: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rFonts w:hint="eastAsia"/>
                <w:szCs w:val="21"/>
              </w:rPr>
              <w:t>轨道路基及道路工程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rFonts w:hint="eastAsia"/>
                <w:szCs w:val="21"/>
              </w:rPr>
              <w:t>桥梁或涵洞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rFonts w:hint="eastAsia"/>
                <w:szCs w:val="21"/>
              </w:rPr>
              <w:t>室外建筑环境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rFonts w:hint="eastAsia"/>
                <w:szCs w:val="21"/>
              </w:rPr>
              <w:t>室外安装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rFonts w:hint="eastAsia"/>
                <w:szCs w:val="21"/>
              </w:rPr>
              <w:t>房屋建筑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Cs w:val="21"/>
              </w:rPr>
            </w:pPr>
            <w:r>
              <w:rPr>
                <w:szCs w:val="21"/>
              </w:rPr>
              <w:t>4</w:t>
            </w:r>
          </w:p>
        </w:tc>
        <w:tc>
          <w:tcPr>
            <w:tcW w:w="214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Cs w:val="21"/>
              </w:rPr>
            </w:pPr>
            <w:r>
              <w:rPr>
                <w:rFonts w:hint="eastAsia"/>
                <w:szCs w:val="21"/>
              </w:rPr>
              <w:t>轨道工程</w:t>
            </w: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kern w:val="0"/>
                <w:szCs w:val="21"/>
              </w:rPr>
            </w:pPr>
            <w:r>
              <w:rPr>
                <w:rFonts w:hint="eastAsia"/>
                <w:kern w:val="0"/>
                <w:szCs w:val="21"/>
              </w:rPr>
              <w:t>正线轨道工程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rFonts w:hint="eastAsia" w:hAnsi="Calibri"/>
                <w:szCs w:val="21"/>
              </w:rPr>
              <w:t>站场及出入段线轨道工程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Cs w:val="21"/>
              </w:rPr>
            </w:pPr>
            <w:r>
              <w:rPr>
                <w:szCs w:val="21"/>
              </w:rPr>
              <w:t>5</w:t>
            </w:r>
          </w:p>
        </w:tc>
        <w:tc>
          <w:tcPr>
            <w:tcW w:w="214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105" w:firstLineChars="50"/>
              <w:jc w:val="center"/>
              <w:rPr>
                <w:szCs w:val="21"/>
              </w:rPr>
            </w:pPr>
            <w:r>
              <w:rPr>
                <w:rFonts w:hint="eastAsia"/>
                <w:szCs w:val="21"/>
              </w:rPr>
              <w:t>主变电站工程</w:t>
            </w: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rFonts w:hint="eastAsia"/>
                <w:szCs w:val="21"/>
              </w:rPr>
              <w:t>送电工程（进线部分）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rFonts w:hint="eastAsia"/>
                <w:szCs w:val="21"/>
              </w:rPr>
              <w:t>房屋建筑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szCs w:val="21"/>
              </w:rPr>
            </w:pPr>
            <w:r>
              <w:rPr>
                <w:rFonts w:hint="eastAsia"/>
                <w:kern w:val="0"/>
                <w:szCs w:val="21"/>
              </w:rPr>
              <w:t>电气设备安装工程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Cs w:val="21"/>
              </w:rPr>
            </w:pPr>
            <w:r>
              <w:rPr>
                <w:szCs w:val="21"/>
              </w:rPr>
              <w:t>6</w:t>
            </w:r>
          </w:p>
        </w:tc>
        <w:tc>
          <w:tcPr>
            <w:tcW w:w="21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供电工程</w:t>
            </w: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牵引供电系统工程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接触网工程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Cs w:val="21"/>
              </w:rPr>
            </w:pPr>
            <w:r>
              <w:rPr>
                <w:szCs w:val="21"/>
              </w:rPr>
              <w:t>7</w:t>
            </w:r>
          </w:p>
        </w:tc>
        <w:tc>
          <w:tcPr>
            <w:tcW w:w="214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Cs w:val="21"/>
              </w:rPr>
            </w:pPr>
            <w:r>
              <w:rPr>
                <w:rFonts w:hint="eastAsia"/>
                <w:szCs w:val="21"/>
              </w:rPr>
              <w:t>信号系统</w:t>
            </w: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kern w:val="0"/>
                <w:szCs w:val="21"/>
              </w:rPr>
            </w:pPr>
            <w:r>
              <w:rPr>
                <w:rFonts w:hint="eastAsia"/>
                <w:kern w:val="0"/>
                <w:szCs w:val="21"/>
              </w:rPr>
              <w:t>正线信号系统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kern w:val="0"/>
                <w:szCs w:val="21"/>
              </w:rPr>
            </w:pPr>
            <w:r>
              <w:rPr>
                <w:rFonts w:hint="eastAsia" w:ascii="宋体" w:hAnsi="宋体"/>
                <w:szCs w:val="21"/>
              </w:rPr>
              <w:t>车辆基地信号系统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Cs w:val="21"/>
              </w:rPr>
            </w:pPr>
            <w:r>
              <w:rPr>
                <w:szCs w:val="21"/>
              </w:rPr>
              <w:t>8</w:t>
            </w:r>
          </w:p>
        </w:tc>
        <w:tc>
          <w:tcPr>
            <w:tcW w:w="21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通信系统</w:t>
            </w: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kern w:val="0"/>
                <w:szCs w:val="21"/>
              </w:rPr>
            </w:pPr>
            <w:r>
              <w:rPr>
                <w:rFonts w:hint="eastAsia"/>
                <w:kern w:val="0"/>
                <w:szCs w:val="21"/>
              </w:rPr>
              <w:t>专用通信系统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kern w:val="0"/>
                <w:szCs w:val="21"/>
              </w:rPr>
            </w:pPr>
            <w:r>
              <w:rPr>
                <w:rFonts w:hint="eastAsia"/>
                <w:kern w:val="0"/>
                <w:szCs w:val="21"/>
              </w:rPr>
              <w:t>公安通信系统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kern w:val="0"/>
                <w:szCs w:val="21"/>
              </w:rPr>
            </w:pPr>
            <w:r>
              <w:rPr>
                <w:rFonts w:hint="eastAsia"/>
                <w:kern w:val="0"/>
                <w:szCs w:val="21"/>
              </w:rPr>
              <w:t>商用通信系统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Cs w:val="21"/>
              </w:rPr>
            </w:pPr>
            <w:r>
              <w:rPr>
                <w:szCs w:val="21"/>
              </w:rPr>
              <w:t>9</w:t>
            </w:r>
          </w:p>
        </w:tc>
        <w:tc>
          <w:tcPr>
            <w:tcW w:w="214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宋体" w:cs="Times New Roman"/>
                <w:szCs w:val="21"/>
              </w:rPr>
            </w:pPr>
            <w:r>
              <w:rPr>
                <w:rFonts w:hint="eastAsia"/>
                <w:szCs w:val="21"/>
              </w:rPr>
              <w:t>综合监控</w:t>
            </w:r>
          </w:p>
          <w:p>
            <w:pPr>
              <w:widowControl/>
              <w:adjustRightInd w:val="0"/>
              <w:snapToGrid w:val="0"/>
              <w:jc w:val="center"/>
              <w:rPr>
                <w:szCs w:val="21"/>
              </w:rPr>
            </w:pPr>
            <w:r>
              <w:rPr>
                <w:rFonts w:hint="eastAsia"/>
                <w:szCs w:val="21"/>
              </w:rPr>
              <w:t>（</w:t>
            </w:r>
            <w:r>
              <w:rPr>
                <w:szCs w:val="21"/>
              </w:rPr>
              <w:t>ISCS</w:t>
            </w:r>
            <w:r>
              <w:rPr>
                <w:rFonts w:hint="eastAsia"/>
                <w:szCs w:val="21"/>
              </w:rPr>
              <w:t>）系统</w:t>
            </w:r>
          </w:p>
        </w:tc>
        <w:tc>
          <w:tcPr>
            <w:tcW w:w="584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电力监控系统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环境与设备监控（</w:t>
            </w:r>
            <w:r>
              <w:rPr>
                <w:szCs w:val="21"/>
              </w:rPr>
              <w:t>BAS</w:t>
            </w:r>
            <w:r>
              <w:rPr>
                <w:rFonts w:hint="eastAsia"/>
                <w:szCs w:val="21"/>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门禁与安防系统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综合联调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943"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szCs w:val="21"/>
              </w:rPr>
            </w:pPr>
            <w:r>
              <w:rPr>
                <w:szCs w:val="21"/>
              </w:rPr>
              <w:t>10</w:t>
            </w:r>
          </w:p>
        </w:tc>
        <w:tc>
          <w:tcPr>
            <w:tcW w:w="2146"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eastAsiaTheme="minorEastAsia"/>
                <w:szCs w:val="21"/>
                <w:lang w:val="en-US" w:eastAsia="zh-CN"/>
              </w:rPr>
            </w:pPr>
            <w:r>
              <w:rPr>
                <w:rFonts w:hint="eastAsia"/>
                <w:szCs w:val="21"/>
                <w:lang w:val="en-US" w:eastAsia="zh-CN"/>
              </w:rPr>
              <w:t>FAS及气体灭火系统</w:t>
            </w:r>
          </w:p>
        </w:tc>
        <w:tc>
          <w:tcPr>
            <w:tcW w:w="5842" w:type="dxa"/>
            <w:tcBorders>
              <w:top w:val="single" w:color="auto" w:sz="4" w:space="0"/>
              <w:left w:val="single" w:color="auto" w:sz="4" w:space="0"/>
              <w:bottom w:val="single" w:color="auto" w:sz="4" w:space="0"/>
              <w:right w:val="single" w:color="auto" w:sz="4" w:space="0"/>
            </w:tcBorders>
            <w:textDirection w:val="lrTb"/>
            <w:vAlign w:val="center"/>
          </w:tcPr>
          <w:p>
            <w:pPr>
              <w:jc w:val="center"/>
              <w:rPr>
                <w:szCs w:val="21"/>
              </w:rPr>
            </w:pPr>
            <w:r>
              <w:rPr>
                <w:rFonts w:hint="eastAsia"/>
                <w:szCs w:val="21"/>
              </w:rPr>
              <w:t>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943"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szCs w:val="21"/>
              </w:rPr>
            </w:pPr>
          </w:p>
        </w:tc>
        <w:tc>
          <w:tcPr>
            <w:tcW w:w="2146"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hint="eastAsia"/>
                <w:szCs w:val="21"/>
              </w:rPr>
            </w:pPr>
          </w:p>
        </w:tc>
        <w:tc>
          <w:tcPr>
            <w:tcW w:w="5842" w:type="dxa"/>
            <w:tcBorders>
              <w:top w:val="single" w:color="auto" w:sz="4" w:space="0"/>
              <w:left w:val="single" w:color="auto" w:sz="4" w:space="0"/>
              <w:bottom w:val="single" w:color="auto" w:sz="4" w:space="0"/>
              <w:right w:val="single" w:color="auto" w:sz="4" w:space="0"/>
            </w:tcBorders>
            <w:textDirection w:val="lrTb"/>
            <w:vAlign w:val="center"/>
          </w:tcPr>
          <w:p>
            <w:pPr>
              <w:jc w:val="center"/>
              <w:rPr>
                <w:szCs w:val="21"/>
              </w:rPr>
            </w:pPr>
            <w:bookmarkStart w:id="0" w:name="_GoBack"/>
            <w:bookmarkEnd w:id="0"/>
            <w:r>
              <w:rPr>
                <w:rFonts w:hint="eastAsia"/>
                <w:szCs w:val="21"/>
              </w:rPr>
              <w:t>气体灭火系统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943" w:type="dxa"/>
            <w:tcBorders>
              <w:top w:val="single" w:color="auto" w:sz="4" w:space="0"/>
              <w:left w:val="single" w:color="auto" w:sz="4" w:space="0"/>
              <w:bottom w:val="single" w:color="auto" w:sz="4" w:space="0"/>
              <w:right w:val="single" w:color="auto" w:sz="4" w:space="0"/>
            </w:tcBorders>
            <w:textDirection w:val="lrTb"/>
            <w:vAlign w:val="center"/>
          </w:tcPr>
          <w:p>
            <w:pPr>
              <w:widowControl/>
              <w:adjustRightInd w:val="0"/>
              <w:snapToGrid w:val="0"/>
              <w:jc w:val="center"/>
              <w:rPr>
                <w:szCs w:val="21"/>
              </w:rPr>
            </w:pPr>
            <w:r>
              <w:rPr>
                <w:szCs w:val="21"/>
              </w:rPr>
              <w:t>11</w:t>
            </w:r>
          </w:p>
        </w:tc>
        <w:tc>
          <w:tcPr>
            <w:tcW w:w="2146" w:type="dxa"/>
            <w:tcBorders>
              <w:top w:val="single" w:color="auto" w:sz="4" w:space="0"/>
              <w:left w:val="single" w:color="auto" w:sz="4" w:space="0"/>
              <w:bottom w:val="single" w:color="auto" w:sz="4" w:space="0"/>
              <w:right w:val="single" w:color="auto" w:sz="4" w:space="0"/>
            </w:tcBorders>
            <w:textDirection w:val="lrTb"/>
            <w:vAlign w:val="center"/>
          </w:tcPr>
          <w:p>
            <w:pPr>
              <w:widowControl/>
              <w:adjustRightInd w:val="0"/>
              <w:snapToGrid w:val="0"/>
              <w:jc w:val="center"/>
              <w:rPr>
                <w:rFonts w:ascii="Times New Roman" w:hAnsi="Times New Roman" w:eastAsia="宋体" w:cs="Times New Roman"/>
                <w:szCs w:val="21"/>
              </w:rPr>
            </w:pPr>
            <w:r>
              <w:rPr>
                <w:rFonts w:hint="eastAsia"/>
                <w:szCs w:val="21"/>
              </w:rPr>
              <w:t>自动售检票</w:t>
            </w:r>
          </w:p>
          <w:p>
            <w:pPr>
              <w:widowControl/>
              <w:adjustRightInd w:val="0"/>
              <w:snapToGrid w:val="0"/>
              <w:jc w:val="center"/>
              <w:rPr>
                <w:rFonts w:hint="eastAsia"/>
                <w:szCs w:val="21"/>
              </w:rPr>
            </w:pPr>
            <w:r>
              <w:rPr>
                <w:rFonts w:hint="eastAsia"/>
                <w:szCs w:val="21"/>
              </w:rPr>
              <w:t>（</w:t>
            </w:r>
            <w:r>
              <w:rPr>
                <w:szCs w:val="21"/>
              </w:rPr>
              <w:t>AFC</w:t>
            </w:r>
            <w:r>
              <w:rPr>
                <w:rFonts w:hint="eastAsia"/>
                <w:szCs w:val="21"/>
              </w:rPr>
              <w:t>）系统</w:t>
            </w:r>
          </w:p>
        </w:tc>
        <w:tc>
          <w:tcPr>
            <w:tcW w:w="5842" w:type="dxa"/>
            <w:tcBorders>
              <w:top w:val="single" w:color="auto" w:sz="4" w:space="0"/>
              <w:left w:val="single" w:color="auto" w:sz="4" w:space="0"/>
              <w:bottom w:val="single" w:color="auto" w:sz="4" w:space="0"/>
              <w:right w:val="single" w:color="auto" w:sz="4" w:space="0"/>
            </w:tcBorders>
            <w:textDirection w:val="lrTb"/>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943" w:type="dxa"/>
            <w:tcBorders>
              <w:top w:val="single" w:color="auto" w:sz="4" w:space="0"/>
              <w:left w:val="single" w:color="auto" w:sz="4" w:space="0"/>
              <w:bottom w:val="single" w:color="auto" w:sz="4" w:space="0"/>
              <w:right w:val="single" w:color="auto" w:sz="4" w:space="0"/>
            </w:tcBorders>
            <w:textDirection w:val="lrTb"/>
            <w:vAlign w:val="center"/>
          </w:tcPr>
          <w:p>
            <w:pPr>
              <w:widowControl/>
              <w:adjustRightInd w:val="0"/>
              <w:snapToGrid w:val="0"/>
              <w:jc w:val="center"/>
              <w:rPr>
                <w:szCs w:val="21"/>
              </w:rPr>
            </w:pPr>
            <w:r>
              <w:rPr>
                <w:szCs w:val="21"/>
              </w:rPr>
              <w:t>12</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Cs w:val="21"/>
              </w:rPr>
            </w:pPr>
            <w:r>
              <w:rPr>
                <w:rFonts w:hint="eastAsia"/>
                <w:spacing w:val="16"/>
                <w:kern w:val="0"/>
                <w:szCs w:val="21"/>
              </w:rPr>
              <w:t>站台屏蔽门工程</w:t>
            </w:r>
          </w:p>
        </w:tc>
        <w:tc>
          <w:tcPr>
            <w:tcW w:w="584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3" w:type="dxa"/>
            <w:vMerge w:val="restart"/>
            <w:tcBorders>
              <w:top w:val="single" w:color="auto" w:sz="4" w:space="0"/>
              <w:left w:val="single" w:color="auto" w:sz="4" w:space="0"/>
              <w:bottom w:val="single" w:color="auto" w:sz="4" w:space="0"/>
              <w:right w:val="single" w:color="auto" w:sz="4" w:space="0"/>
            </w:tcBorders>
            <w:textDirection w:val="lrTb"/>
            <w:vAlign w:val="center"/>
          </w:tcPr>
          <w:p>
            <w:pPr>
              <w:widowControl/>
              <w:adjustRightInd w:val="0"/>
              <w:snapToGrid w:val="0"/>
              <w:jc w:val="center"/>
              <w:rPr>
                <w:szCs w:val="21"/>
              </w:rPr>
            </w:pPr>
            <w:r>
              <w:rPr>
                <w:szCs w:val="21"/>
              </w:rPr>
              <w:t>13</w:t>
            </w:r>
          </w:p>
        </w:tc>
        <w:tc>
          <w:tcPr>
            <w:tcW w:w="21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电（扶）梯工程</w:t>
            </w:r>
          </w:p>
        </w:tc>
        <w:tc>
          <w:tcPr>
            <w:tcW w:w="584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自动扶梯及自动人行道安装工程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szCs w:val="21"/>
              </w:rPr>
              <w:t>电梯安装工程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jc w:val="center"/>
              <w:textAlignment w:val="center"/>
              <w:rPr>
                <w:szCs w:val="21"/>
              </w:rPr>
            </w:pPr>
            <w:r>
              <w:rPr>
                <w:rFonts w:hint="eastAsia"/>
                <w:szCs w:val="21"/>
              </w:rPr>
              <w:t>轮椅升降台安装工程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3" w:type="dxa"/>
            <w:vMerge w:val="restart"/>
            <w:tcBorders>
              <w:top w:val="single" w:color="auto" w:sz="4" w:space="0"/>
              <w:left w:val="single" w:color="auto" w:sz="4" w:space="0"/>
              <w:bottom w:val="single" w:color="auto" w:sz="4" w:space="0"/>
              <w:right w:val="single" w:color="auto" w:sz="4" w:space="0"/>
            </w:tcBorders>
            <w:textDirection w:val="lrTb"/>
            <w:vAlign w:val="center"/>
          </w:tcPr>
          <w:p>
            <w:pPr>
              <w:widowControl/>
              <w:adjustRightInd w:val="0"/>
              <w:snapToGrid w:val="0"/>
              <w:jc w:val="center"/>
              <w:rPr>
                <w:szCs w:val="21"/>
              </w:rPr>
            </w:pPr>
            <w:r>
              <w:rPr>
                <w:szCs w:val="21"/>
              </w:rPr>
              <w:t>14</w:t>
            </w:r>
          </w:p>
        </w:tc>
        <w:tc>
          <w:tcPr>
            <w:tcW w:w="21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人防工程</w:t>
            </w:r>
          </w:p>
        </w:tc>
        <w:tc>
          <w:tcPr>
            <w:tcW w:w="584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Cs w:val="21"/>
              </w:rPr>
            </w:pPr>
            <w:r>
              <w:rPr>
                <w:rFonts w:hint="eastAsia" w:ascii="Calibri" w:hAnsi="Calibri"/>
                <w:szCs w:val="21"/>
              </w:rPr>
              <w:t>出入口及区间人防防护设备安装工程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1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84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Calibri" w:hAnsi="Calibri"/>
                <w:szCs w:val="21"/>
              </w:rPr>
              <w:t>防淹防护密闭隔断门工程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943" w:type="dxa"/>
            <w:tcBorders>
              <w:top w:val="single" w:color="auto" w:sz="4" w:space="0"/>
              <w:left w:val="single" w:color="auto" w:sz="4" w:space="0"/>
              <w:bottom w:val="single" w:color="auto" w:sz="4" w:space="0"/>
              <w:right w:val="single" w:color="auto" w:sz="4" w:space="0"/>
            </w:tcBorders>
            <w:textDirection w:val="lrTb"/>
            <w:vAlign w:val="center"/>
          </w:tcPr>
          <w:p>
            <w:pPr>
              <w:widowControl/>
              <w:adjustRightInd w:val="0"/>
              <w:snapToGrid w:val="0"/>
              <w:jc w:val="center"/>
              <w:rPr>
                <w:szCs w:val="21"/>
              </w:rPr>
            </w:pPr>
            <w:r>
              <w:rPr>
                <w:szCs w:val="21"/>
              </w:rPr>
              <w:t>15</w:t>
            </w:r>
          </w:p>
        </w:tc>
        <w:tc>
          <w:tcPr>
            <w:tcW w:w="21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宋体" w:cs="Times New Roman"/>
                <w:szCs w:val="21"/>
              </w:rPr>
            </w:pPr>
            <w:r>
              <w:rPr>
                <w:rFonts w:hint="eastAsia"/>
                <w:szCs w:val="21"/>
              </w:rPr>
              <w:t>综合信息管理</w:t>
            </w:r>
          </w:p>
          <w:p>
            <w:pPr>
              <w:widowControl/>
              <w:adjustRightInd w:val="0"/>
              <w:snapToGrid w:val="0"/>
              <w:jc w:val="center"/>
              <w:rPr>
                <w:szCs w:val="21"/>
              </w:rPr>
            </w:pPr>
            <w:r>
              <w:rPr>
                <w:rFonts w:hint="eastAsia"/>
                <w:szCs w:val="21"/>
              </w:rPr>
              <w:t>（</w:t>
            </w:r>
            <w:r>
              <w:rPr>
                <w:szCs w:val="21"/>
              </w:rPr>
              <w:t>IMS</w:t>
            </w:r>
            <w:r>
              <w:rPr>
                <w:rFonts w:hint="eastAsia"/>
                <w:szCs w:val="21"/>
              </w:rPr>
              <w:t>）系统</w:t>
            </w:r>
          </w:p>
        </w:tc>
        <w:tc>
          <w:tcPr>
            <w:tcW w:w="584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943" w:type="dxa"/>
            <w:tcBorders>
              <w:top w:val="single" w:color="auto" w:sz="4" w:space="0"/>
              <w:left w:val="single" w:color="auto" w:sz="4" w:space="0"/>
              <w:bottom w:val="single" w:color="auto" w:sz="4" w:space="0"/>
              <w:right w:val="single" w:color="auto" w:sz="4" w:space="0"/>
            </w:tcBorders>
            <w:textDirection w:val="lrTb"/>
            <w:vAlign w:val="center"/>
          </w:tcPr>
          <w:p>
            <w:pPr>
              <w:widowControl/>
              <w:adjustRightInd w:val="0"/>
              <w:snapToGrid w:val="0"/>
              <w:jc w:val="center"/>
              <w:rPr>
                <w:szCs w:val="21"/>
              </w:rPr>
            </w:pPr>
            <w:r>
              <w:rPr>
                <w:szCs w:val="21"/>
              </w:rPr>
              <w:t>16</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（运营）资产管理系统</w:t>
            </w:r>
          </w:p>
        </w:tc>
        <w:tc>
          <w:tcPr>
            <w:tcW w:w="584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eastAsiaTheme="minorEastAsia"/>
                <w:szCs w:val="21"/>
                <w:lang w:val="en-US" w:eastAsia="zh-CN"/>
              </w:rPr>
            </w:pPr>
            <w:r>
              <w:rPr>
                <w:rFonts w:hint="eastAsia"/>
                <w:szCs w:val="21"/>
                <w:lang w:val="en-US" w:eastAsia="zh-CN"/>
              </w:rPr>
              <w:t>17</w:t>
            </w:r>
          </w:p>
        </w:tc>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供冷站</w:t>
            </w:r>
          </w:p>
        </w:tc>
        <w:tc>
          <w:tcPr>
            <w:tcW w:w="584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r>
    </w:tbl>
    <w:p>
      <w:pPr>
        <w:adjustRightInd w:val="0"/>
        <w:snapToGrid w:val="0"/>
        <w:spacing w:line="560" w:lineRule="exact"/>
        <w:rPr>
          <w:rFonts w:ascii="宋体" w:hAnsi="宋体" w:eastAsia="宋体"/>
          <w:szCs w:val="21"/>
        </w:rPr>
      </w:pPr>
      <w:r>
        <w:rPr>
          <w:rFonts w:hint="eastAsia" w:ascii="宋体" w:hAnsi="宋体"/>
          <w:szCs w:val="21"/>
        </w:rPr>
        <w:t>备注：1、本表中未包含的项目，可参照相关标准执行；</w:t>
      </w:r>
    </w:p>
    <w:p>
      <w:pPr>
        <w:adjustRightInd w:val="0"/>
        <w:snapToGrid w:val="0"/>
        <w:spacing w:line="560" w:lineRule="exact"/>
        <w:rPr>
          <w:rFonts w:ascii="宋体" w:hAnsi="宋体"/>
          <w:szCs w:val="21"/>
        </w:rPr>
      </w:pPr>
      <w:r>
        <w:rPr>
          <w:rFonts w:hint="eastAsia" w:ascii="宋体" w:hAnsi="宋体"/>
          <w:szCs w:val="21"/>
        </w:rPr>
        <w:t xml:space="preserve">      2、项目工程：单独立项、具备独立使用功能和运营能力的城市轨道交通工程；</w:t>
      </w:r>
    </w:p>
    <w:p>
      <w:pPr>
        <w:spacing w:line="360" w:lineRule="auto"/>
        <w:jc w:val="left"/>
        <w:rPr>
          <w:rFonts w:ascii="宋体" w:hAnsi="宋体"/>
          <w:szCs w:val="21"/>
        </w:rPr>
      </w:pPr>
      <w:r>
        <w:rPr>
          <w:rFonts w:hint="eastAsia" w:ascii="宋体" w:hAnsi="宋体"/>
          <w:szCs w:val="21"/>
        </w:rPr>
        <w:t xml:space="preserve">      3、单位工程：在城市轨道交通项目工程中具备独立施工条件或具备专业功能的建（构）筑物、设施、设备系统；</w:t>
      </w:r>
    </w:p>
    <w:p>
      <w:pPr>
        <w:spacing w:line="360" w:lineRule="auto"/>
        <w:jc w:val="left"/>
        <w:rPr>
          <w:szCs w:val="21"/>
        </w:rPr>
      </w:pPr>
      <w:r>
        <w:rPr>
          <w:rFonts w:hint="eastAsia" w:ascii="宋体" w:hAnsi="宋体"/>
          <w:szCs w:val="21"/>
        </w:rPr>
        <w:t xml:space="preserve">      4、</w:t>
      </w:r>
      <w:r>
        <w:rPr>
          <w:rFonts w:hint="eastAsia" w:ascii="宋体" w:hAnsi="宋体"/>
          <w:spacing w:val="10"/>
          <w:kern w:val="0"/>
          <w:szCs w:val="21"/>
        </w:rPr>
        <w:t>子单位工程：</w:t>
      </w:r>
      <w:r>
        <w:rPr>
          <w:rFonts w:hint="eastAsia" w:ascii="宋体" w:hAnsi="宋体"/>
          <w:szCs w:val="21"/>
        </w:rPr>
        <w:t>在单位工程中具备阶段性施工条件或者施工内容相对独立的建（构）筑物及专业设备子系统。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宋体 ，Arial">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decorative"/>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宋体 ，Arial">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roman"/>
    <w:pitch w:val="default"/>
    <w:sig w:usb0="E1002EFF" w:usb1="C000605B" w:usb2="00000029" w:usb3="00000000" w:csb0="200101FF" w:csb1="2028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宋体 ，Arial">
    <w:altName w:val="宋体"/>
    <w:panose1 w:val="00000000000000000000"/>
    <w:charset w:val="86"/>
    <w:family w:val="decorative"/>
    <w:pitch w:val="default"/>
    <w:sig w:usb0="00000000" w:usb1="00000000" w:usb2="00000010" w:usb3="00000000" w:csb0="00040000" w:csb1="00000000"/>
  </w:font>
  <w:font w:name="Tahoma">
    <w:panose1 w:val="020B0604030504040204"/>
    <w:charset w:val="00"/>
    <w:family w:val="modern"/>
    <w:pitch w:val="default"/>
    <w:sig w:usb0="E1002EFF" w:usb1="C000605B" w:usb2="00000029" w:usb3="00000000" w:csb0="200101FF" w:csb1="2028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宋体 ，Arial">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4182"/>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33A9C"/>
    <w:rsid w:val="0004170B"/>
    <w:rsid w:val="000D5E96"/>
    <w:rsid w:val="00172D2D"/>
    <w:rsid w:val="0025113E"/>
    <w:rsid w:val="00251537"/>
    <w:rsid w:val="002E583F"/>
    <w:rsid w:val="003A574B"/>
    <w:rsid w:val="00425311"/>
    <w:rsid w:val="005438EA"/>
    <w:rsid w:val="00733A9C"/>
    <w:rsid w:val="007B4120"/>
    <w:rsid w:val="00996760"/>
    <w:rsid w:val="009B1C05"/>
    <w:rsid w:val="00A70106"/>
    <w:rsid w:val="00D32375"/>
    <w:rsid w:val="00D57B96"/>
    <w:rsid w:val="02B31E9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customStyle="1" w:styleId="7">
    <w:name w:val="页眉 Char"/>
    <w:basedOn w:val="4"/>
    <w:link w:val="3"/>
    <w:uiPriority w:val="99"/>
    <w:rPr>
      <w:sz w:val="18"/>
      <w:szCs w:val="18"/>
    </w:rPr>
  </w:style>
  <w:style w:type="character" w:customStyle="1" w:styleId="8">
    <w:name w:val="页脚 Char"/>
    <w:basedOn w:val="4"/>
    <w:link w:val="2"/>
    <w:qFormat/>
    <w:uiPriority w:val="99"/>
    <w:rPr>
      <w:sz w:val="18"/>
      <w:szCs w:val="18"/>
    </w:rPr>
  </w:style>
  <w:style w:type="paragraph" w:customStyle="1" w:styleId="9">
    <w:name w:val="pbj1"/>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748</Words>
  <Characters>4268</Characters>
  <Lines>35</Lines>
  <Paragraphs>10</Paragraphs>
  <ScaleCrop>false</ScaleCrop>
  <LinksUpToDate>false</LinksUpToDate>
  <CharactersWithSpaces>5006</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2015-06-25T00:56:00Z</dcterms:created>
  <dc:creator>lenovo</dc:creator>
  <cp:lastModifiedBy>xu</cp:lastModifiedBy>
  <dcterms:modified xsi:type="dcterms:W3CDTF">2016-05-26T07:08:35Z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